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358" w:rsidRPr="00FF1978" w:rsidRDefault="00784358" w:rsidP="00784358">
      <w:pPr>
        <w:jc w:val="left"/>
        <w:rPr>
          <w:rFonts w:ascii="Times New Roman" w:eastAsia="黑体" w:hAnsi="Times New Roman" w:cs="Times New Roman"/>
          <w:sz w:val="32"/>
          <w:szCs w:val="36"/>
        </w:rPr>
      </w:pPr>
      <w:r w:rsidRPr="00FF1978">
        <w:rPr>
          <w:rFonts w:ascii="Times New Roman" w:eastAsia="黑体" w:hAnsi="Times New Roman" w:cs="Times New Roman"/>
          <w:sz w:val="32"/>
          <w:szCs w:val="36"/>
        </w:rPr>
        <w:t>附件</w:t>
      </w:r>
      <w:r w:rsidRPr="00FF1978">
        <w:rPr>
          <w:rFonts w:ascii="Times New Roman" w:eastAsia="黑体" w:hAnsi="Times New Roman" w:cs="Times New Roman"/>
          <w:sz w:val="32"/>
          <w:szCs w:val="36"/>
        </w:rPr>
        <w:t>1</w:t>
      </w:r>
    </w:p>
    <w:p w:rsidR="00784358" w:rsidRPr="00FF1978" w:rsidRDefault="00784358" w:rsidP="00784358">
      <w:pPr>
        <w:widowControl/>
        <w:adjustRightInd w:val="0"/>
        <w:snapToGrid w:val="0"/>
        <w:jc w:val="center"/>
        <w:rPr>
          <w:rFonts w:ascii="Times New Roman" w:eastAsia="方正小标宋简体" w:hAnsi="Times New Roman" w:cs="Times New Roman"/>
          <w:color w:val="000000"/>
          <w:sz w:val="36"/>
          <w:szCs w:val="36"/>
        </w:rPr>
      </w:pPr>
      <w:r w:rsidRPr="00FF1978">
        <w:rPr>
          <w:rFonts w:ascii="Times New Roman" w:eastAsia="方正小标宋简体" w:hAnsi="Times New Roman" w:cs="Times New Roman"/>
          <w:color w:val="000000"/>
          <w:sz w:val="36"/>
          <w:szCs w:val="36"/>
        </w:rPr>
        <w:t>药品注册申请审评期间变更工作程序</w:t>
      </w:r>
    </w:p>
    <w:p w:rsidR="00784358" w:rsidRPr="00FF1978" w:rsidRDefault="00784358" w:rsidP="00784358">
      <w:pPr>
        <w:adjustRightInd w:val="0"/>
        <w:snapToGrid w:val="0"/>
        <w:jc w:val="center"/>
        <w:rPr>
          <w:rFonts w:ascii="Times New Roman" w:eastAsia="方正小标宋简体" w:hAnsi="Times New Roman" w:cs="Times New Roman"/>
          <w:color w:val="000000"/>
          <w:sz w:val="36"/>
          <w:szCs w:val="36"/>
        </w:rPr>
      </w:pPr>
      <w:r w:rsidRPr="00FF1978">
        <w:rPr>
          <w:rFonts w:ascii="Times New Roman" w:eastAsia="方正小标宋简体" w:hAnsi="Times New Roman" w:cs="Times New Roman"/>
          <w:color w:val="000000"/>
          <w:sz w:val="36"/>
          <w:szCs w:val="36"/>
        </w:rPr>
        <w:t>（征求意见稿）</w:t>
      </w:r>
    </w:p>
    <w:p w:rsidR="00784358" w:rsidRPr="00FF1978" w:rsidRDefault="00784358" w:rsidP="00784358">
      <w:pPr>
        <w:jc w:val="center"/>
        <w:rPr>
          <w:rFonts w:ascii="Times New Roman" w:eastAsia="方正小标宋简体" w:hAnsi="Times New Roman" w:cs="Times New Roman"/>
          <w:color w:val="000000"/>
          <w:sz w:val="32"/>
          <w:szCs w:val="44"/>
        </w:rPr>
      </w:pP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根据《药品注册管理办法》（国家市场监督管理总局令，第</w:t>
      </w:r>
      <w:r w:rsidRPr="00FF1978">
        <w:rPr>
          <w:rFonts w:ascii="Times New Roman" w:eastAsia="仿宋_GB2312" w:hAnsi="Times New Roman" w:cs="Times New Roman"/>
          <w:color w:val="000000"/>
          <w:sz w:val="32"/>
          <w:szCs w:val="32"/>
        </w:rPr>
        <w:t>27</w:t>
      </w:r>
      <w:r w:rsidRPr="00FF1978">
        <w:rPr>
          <w:rFonts w:ascii="Times New Roman" w:eastAsia="仿宋_GB2312" w:hAnsi="Times New Roman" w:cs="Times New Roman"/>
          <w:color w:val="000000"/>
          <w:sz w:val="32"/>
          <w:szCs w:val="32"/>
        </w:rPr>
        <w:t>号，</w:t>
      </w:r>
      <w:r w:rsidRPr="00FF1978">
        <w:rPr>
          <w:rFonts w:ascii="Times New Roman" w:eastAsia="仿宋_GB2312" w:hAnsi="Times New Roman" w:cs="Times New Roman"/>
          <w:kern w:val="0"/>
          <w:sz w:val="32"/>
          <w:szCs w:val="32"/>
        </w:rPr>
        <w:t>以下简称新《办法》</w:t>
      </w:r>
      <w:r w:rsidRPr="00FF1978">
        <w:rPr>
          <w:rFonts w:ascii="Times New Roman" w:eastAsia="仿宋_GB2312" w:hAnsi="Times New Roman" w:cs="Times New Roman"/>
          <w:color w:val="000000"/>
          <w:sz w:val="32"/>
          <w:szCs w:val="32"/>
        </w:rPr>
        <w:t>）《药品上市后变更管理办法（试行）》制定本工作程序，具体如下：</w:t>
      </w:r>
    </w:p>
    <w:p w:rsidR="00784358" w:rsidRPr="00FF1978" w:rsidRDefault="00784358" w:rsidP="00784358">
      <w:pPr>
        <w:pStyle w:val="a7"/>
        <w:numPr>
          <w:ilvl w:val="0"/>
          <w:numId w:val="1"/>
        </w:numPr>
        <w:spacing w:line="600" w:lineRule="exact"/>
        <w:ind w:firstLineChars="0"/>
        <w:rPr>
          <w:rFonts w:ascii="Times New Roman" w:eastAsia="黑体" w:hAnsi="Times New Roman" w:cs="Times New Roman"/>
          <w:color w:val="000000"/>
          <w:sz w:val="32"/>
          <w:szCs w:val="32"/>
        </w:rPr>
      </w:pPr>
      <w:r w:rsidRPr="00FF1978">
        <w:rPr>
          <w:rFonts w:ascii="Times New Roman" w:eastAsia="黑体" w:hAnsi="Times New Roman" w:cs="Times New Roman"/>
          <w:color w:val="000000"/>
          <w:sz w:val="32"/>
          <w:szCs w:val="32"/>
        </w:rPr>
        <w:t>适用范围及基本遵循</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（一）本工作程序适用于中药、化学药和生物制品药品注册申请审评期间的变更。</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（二）国家药品监督管理局药品审评中心（以下简称药品审评中心）在审评中保持公平公正、尺度一致的原则，审评过程中原则上申请人只能提出一次变更，且提出的变更不影响原申报事项的可评价性。</w:t>
      </w:r>
    </w:p>
    <w:p w:rsidR="00784358" w:rsidRPr="00FF1978" w:rsidRDefault="00784358" w:rsidP="00784358">
      <w:pPr>
        <w:pStyle w:val="a7"/>
        <w:numPr>
          <w:ilvl w:val="0"/>
          <w:numId w:val="1"/>
        </w:numPr>
        <w:spacing w:line="600" w:lineRule="exact"/>
        <w:ind w:firstLineChars="0"/>
        <w:rPr>
          <w:rFonts w:ascii="Times New Roman" w:eastAsia="黑体" w:hAnsi="Times New Roman" w:cs="Times New Roman"/>
          <w:color w:val="000000"/>
          <w:sz w:val="32"/>
          <w:szCs w:val="32"/>
        </w:rPr>
      </w:pPr>
      <w:r w:rsidRPr="00FF1978">
        <w:rPr>
          <w:rFonts w:ascii="Times New Roman" w:eastAsia="黑体" w:hAnsi="Times New Roman" w:cs="Times New Roman"/>
          <w:color w:val="000000"/>
          <w:sz w:val="32"/>
          <w:szCs w:val="32"/>
        </w:rPr>
        <w:t>工作程序</w:t>
      </w:r>
    </w:p>
    <w:p w:rsidR="00784358" w:rsidRPr="00FF1978" w:rsidRDefault="00784358" w:rsidP="00784358">
      <w:pPr>
        <w:pStyle w:val="a7"/>
        <w:numPr>
          <w:ilvl w:val="0"/>
          <w:numId w:val="2"/>
        </w:numPr>
        <w:ind w:firstLineChars="0"/>
        <w:rPr>
          <w:rFonts w:ascii="Times New Roman" w:eastAsia="楷体_GB2312" w:hAnsi="Times New Roman" w:cs="Times New Roman"/>
          <w:sz w:val="32"/>
        </w:rPr>
      </w:pPr>
      <w:r w:rsidRPr="00FF1978">
        <w:rPr>
          <w:rFonts w:ascii="Times New Roman" w:eastAsia="楷体_GB2312" w:hAnsi="Times New Roman" w:cs="Times New Roman"/>
          <w:sz w:val="32"/>
        </w:rPr>
        <w:t>药品临床试验申请</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药物临床试验申请、药物临床试验期间变更的补充申请审评期间，申请人发生名称变更、注册地址名称变更等不涉及技术审评内容的，应当在综合审评完成前以公文形式书面告知药品审评中心并提交相关证明性资料。</w:t>
      </w:r>
    </w:p>
    <w:p w:rsidR="00784358" w:rsidRPr="00FF1978" w:rsidRDefault="00784358" w:rsidP="00784358">
      <w:pPr>
        <w:pStyle w:val="a7"/>
        <w:numPr>
          <w:ilvl w:val="0"/>
          <w:numId w:val="2"/>
        </w:numPr>
        <w:ind w:firstLineChars="0"/>
        <w:rPr>
          <w:rFonts w:ascii="Times New Roman" w:eastAsia="楷体_GB2312" w:hAnsi="Times New Roman" w:cs="Times New Roman"/>
          <w:sz w:val="32"/>
        </w:rPr>
      </w:pPr>
      <w:r w:rsidRPr="00FF1978">
        <w:rPr>
          <w:rFonts w:ascii="Times New Roman" w:eastAsia="楷体_GB2312" w:hAnsi="Times New Roman" w:cs="Times New Roman"/>
          <w:sz w:val="32"/>
        </w:rPr>
        <w:t>药品上市许可申请</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w:t>
      </w:r>
      <w:r w:rsidRPr="00FF1978">
        <w:rPr>
          <w:rFonts w:ascii="Times New Roman" w:eastAsia="仿宋_GB2312" w:hAnsi="Times New Roman" w:cs="Times New Roman"/>
          <w:color w:val="000000"/>
          <w:sz w:val="32"/>
          <w:szCs w:val="32"/>
        </w:rPr>
        <w:t>上市许可申请审评期间发生申请人主体变更的（不涉</w:t>
      </w:r>
      <w:r w:rsidRPr="00FF1978">
        <w:rPr>
          <w:rFonts w:ascii="Times New Roman" w:eastAsia="仿宋_GB2312" w:hAnsi="Times New Roman" w:cs="Times New Roman"/>
          <w:color w:val="000000"/>
          <w:sz w:val="32"/>
          <w:szCs w:val="32"/>
        </w:rPr>
        <w:lastRenderedPageBreak/>
        <w:t>及任何技术变化），申请人应当向药品审评中心提出补充申请，并参照《药品上市后变更管理办法（试行）》中持有人变更的相关要求提交申报资料，该补充申请与原上市许可申请关联审评审批，审评时限以二者之间剩余时间较长者为准。</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w:t>
      </w:r>
      <w:r w:rsidRPr="00FF1978">
        <w:rPr>
          <w:rFonts w:ascii="Times New Roman" w:eastAsia="仿宋_GB2312" w:hAnsi="Times New Roman" w:cs="Times New Roman"/>
          <w:color w:val="000000"/>
          <w:sz w:val="32"/>
          <w:szCs w:val="32"/>
        </w:rPr>
        <w:t>药品上市许可申请审评过程中发生技术变更的，其变更事项分类参照已上市药品变更相关指导原则中的分类进行划分。</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发生可能影响药品安全性、有效性和质量可控性的重大变更，申请人应当撤回原注册申请，补充研究后重新申报。</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发生中等和微小变更的，申请人应当向药品审评中心提出补充申请，并与原申请关联审评审批，补充申请的审评时限参照</w:t>
      </w:r>
      <w:r w:rsidRPr="00FF1978">
        <w:rPr>
          <w:rFonts w:ascii="Times New Roman" w:eastAsia="仿宋_GB2312" w:hAnsi="Times New Roman" w:cs="Times New Roman"/>
          <w:kern w:val="0"/>
          <w:sz w:val="32"/>
          <w:szCs w:val="32"/>
        </w:rPr>
        <w:t>新《办法》</w:t>
      </w:r>
      <w:r w:rsidRPr="00FF1978">
        <w:rPr>
          <w:rFonts w:ascii="Times New Roman" w:eastAsia="仿宋_GB2312" w:hAnsi="Times New Roman" w:cs="Times New Roman"/>
          <w:color w:val="000000"/>
          <w:sz w:val="32"/>
          <w:szCs w:val="32"/>
        </w:rPr>
        <w:t>要求管理，关联后的审评时限以二者之间剩余时间较长者为准。</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w:t>
      </w:r>
      <w:r w:rsidRPr="00FF1978">
        <w:rPr>
          <w:rFonts w:ascii="Times New Roman" w:eastAsia="仿宋_GB2312" w:hAnsi="Times New Roman" w:cs="Times New Roman"/>
          <w:color w:val="000000"/>
          <w:sz w:val="32"/>
          <w:szCs w:val="32"/>
        </w:rPr>
        <w:t>不涉及技术审评的药品注册证书载明的行政信息变更，申请人应当在该注册申请综合审评完成前以公文的方式提交相关证明性材料。</w:t>
      </w:r>
    </w:p>
    <w:p w:rsidR="00784358" w:rsidRPr="00FF1978" w:rsidRDefault="00784358" w:rsidP="00784358">
      <w:pPr>
        <w:pStyle w:val="a7"/>
        <w:numPr>
          <w:ilvl w:val="0"/>
          <w:numId w:val="2"/>
        </w:numPr>
        <w:ind w:firstLineChars="0"/>
        <w:rPr>
          <w:rFonts w:ascii="Times New Roman" w:eastAsia="楷体_GB2312" w:hAnsi="Times New Roman" w:cs="Times New Roman"/>
          <w:color w:val="000000"/>
          <w:sz w:val="32"/>
          <w:szCs w:val="32"/>
        </w:rPr>
      </w:pPr>
      <w:r w:rsidRPr="00FF1978">
        <w:rPr>
          <w:rFonts w:ascii="Times New Roman" w:eastAsia="楷体_GB2312" w:hAnsi="Times New Roman" w:cs="Times New Roman"/>
          <w:color w:val="000000"/>
          <w:sz w:val="32"/>
          <w:szCs w:val="32"/>
        </w:rPr>
        <w:t>补充申请、再注册申请</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补充申请、再注册申请审评过程中，</w:t>
      </w:r>
      <w:r>
        <w:rPr>
          <w:rFonts w:ascii="Times New Roman" w:eastAsia="仿宋_GB2312" w:hAnsi="Times New Roman" w:cs="Times New Roman" w:hint="eastAsia"/>
          <w:color w:val="000000"/>
          <w:sz w:val="32"/>
          <w:szCs w:val="32"/>
        </w:rPr>
        <w:t>涉及非技术变更</w:t>
      </w:r>
      <w:r>
        <w:rPr>
          <w:rFonts w:ascii="Times New Roman" w:eastAsia="仿宋_GB2312" w:hAnsi="Times New Roman" w:cs="Times New Roman"/>
          <w:color w:val="000000"/>
          <w:sz w:val="32"/>
          <w:szCs w:val="32"/>
        </w:rPr>
        <w:t>的，对于备案或</w:t>
      </w:r>
      <w:r>
        <w:rPr>
          <w:rFonts w:ascii="Times New Roman" w:eastAsia="仿宋_GB2312" w:hAnsi="Times New Roman" w:cs="Times New Roman" w:hint="eastAsia"/>
          <w:color w:val="000000"/>
          <w:sz w:val="32"/>
          <w:szCs w:val="32"/>
        </w:rPr>
        <w:t>报告</w:t>
      </w:r>
      <w:r>
        <w:rPr>
          <w:rFonts w:ascii="Times New Roman" w:eastAsia="仿宋_GB2312" w:hAnsi="Times New Roman" w:cs="Times New Roman"/>
          <w:color w:val="000000"/>
          <w:sz w:val="32"/>
          <w:szCs w:val="32"/>
        </w:rPr>
        <w:t>类变更</w:t>
      </w:r>
      <w:r w:rsidRPr="00FF1978">
        <w:rPr>
          <w:rFonts w:ascii="Times New Roman" w:eastAsia="仿宋_GB2312" w:hAnsi="Times New Roman" w:cs="Times New Roman"/>
          <w:color w:val="000000"/>
          <w:sz w:val="32"/>
          <w:szCs w:val="32"/>
        </w:rPr>
        <w:t>，持有人应当在备案或报告完成后将相关证明性材料以公文的形式书面告知药品审评中心</w:t>
      </w:r>
      <w:r>
        <w:rPr>
          <w:rFonts w:ascii="Times New Roman" w:eastAsia="仿宋_GB2312" w:hAnsi="Times New Roman" w:cs="Times New Roman" w:hint="eastAsia"/>
          <w:color w:val="000000"/>
          <w:sz w:val="32"/>
          <w:szCs w:val="32"/>
        </w:rPr>
        <w:t>；对于</w:t>
      </w:r>
      <w:r>
        <w:rPr>
          <w:rFonts w:ascii="Times New Roman" w:eastAsia="仿宋_GB2312" w:hAnsi="Times New Roman" w:cs="Times New Roman"/>
          <w:color w:val="000000"/>
          <w:sz w:val="32"/>
          <w:szCs w:val="32"/>
        </w:rPr>
        <w:t>审批事项，申请人应向药品审评中心提出补充申请，审评时限及资料</w:t>
      </w:r>
      <w:r>
        <w:rPr>
          <w:rFonts w:ascii="Times New Roman" w:eastAsia="仿宋_GB2312" w:hAnsi="Times New Roman" w:cs="Times New Roman" w:hint="eastAsia"/>
          <w:color w:val="000000"/>
          <w:sz w:val="32"/>
          <w:szCs w:val="32"/>
        </w:rPr>
        <w:t>要求</w:t>
      </w:r>
      <w:r>
        <w:rPr>
          <w:rFonts w:ascii="Times New Roman" w:eastAsia="仿宋_GB2312" w:hAnsi="Times New Roman" w:cs="Times New Roman"/>
          <w:color w:val="000000"/>
          <w:sz w:val="32"/>
          <w:szCs w:val="32"/>
        </w:rPr>
        <w:t>参照《</w:t>
      </w:r>
      <w:r>
        <w:rPr>
          <w:rFonts w:ascii="Times New Roman" w:eastAsia="仿宋_GB2312" w:hAnsi="Times New Roman" w:cs="Times New Roman" w:hint="eastAsia"/>
          <w:color w:val="000000"/>
          <w:sz w:val="32"/>
          <w:szCs w:val="32"/>
        </w:rPr>
        <w:t>药品</w:t>
      </w:r>
      <w:r>
        <w:rPr>
          <w:rFonts w:ascii="Times New Roman" w:eastAsia="仿宋_GB2312" w:hAnsi="Times New Roman" w:cs="Times New Roman"/>
          <w:color w:val="000000"/>
          <w:sz w:val="32"/>
          <w:szCs w:val="32"/>
        </w:rPr>
        <w:t>上市后</w:t>
      </w:r>
      <w:r>
        <w:rPr>
          <w:rFonts w:ascii="Times New Roman" w:eastAsia="仿宋_GB2312" w:hAnsi="Times New Roman" w:cs="Times New Roman" w:hint="eastAsia"/>
          <w:color w:val="000000"/>
          <w:sz w:val="32"/>
          <w:szCs w:val="32"/>
        </w:rPr>
        <w:t>变更</w:t>
      </w:r>
      <w:r>
        <w:rPr>
          <w:rFonts w:ascii="Times New Roman" w:eastAsia="仿宋_GB2312" w:hAnsi="Times New Roman" w:cs="Times New Roman"/>
          <w:color w:val="000000"/>
          <w:sz w:val="32"/>
          <w:szCs w:val="32"/>
        </w:rPr>
        <w:t>管理办法（</w:t>
      </w:r>
      <w:r>
        <w:rPr>
          <w:rFonts w:ascii="Times New Roman" w:eastAsia="仿宋_GB2312" w:hAnsi="Times New Roman" w:cs="Times New Roman" w:hint="eastAsia"/>
          <w:color w:val="000000"/>
          <w:sz w:val="32"/>
          <w:szCs w:val="32"/>
        </w:rPr>
        <w:t>试行</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及</w:t>
      </w:r>
      <w:r>
        <w:rPr>
          <w:rFonts w:ascii="Times New Roman" w:eastAsia="仿宋_GB2312" w:hAnsi="Times New Roman" w:cs="Times New Roman"/>
          <w:color w:val="000000"/>
          <w:sz w:val="32"/>
          <w:szCs w:val="32"/>
        </w:rPr>
        <w:t>相</w:t>
      </w:r>
      <w:r>
        <w:rPr>
          <w:rFonts w:ascii="Times New Roman" w:eastAsia="仿宋_GB2312" w:hAnsi="Times New Roman" w:cs="Times New Roman"/>
          <w:color w:val="000000"/>
          <w:sz w:val="32"/>
          <w:szCs w:val="32"/>
        </w:rPr>
        <w:lastRenderedPageBreak/>
        <w:t>关文件的</w:t>
      </w:r>
      <w:r>
        <w:rPr>
          <w:rFonts w:ascii="Times New Roman" w:eastAsia="仿宋_GB2312" w:hAnsi="Times New Roman" w:cs="Times New Roman" w:hint="eastAsia"/>
          <w:color w:val="000000"/>
          <w:sz w:val="32"/>
          <w:szCs w:val="32"/>
        </w:rPr>
        <w:t>规定</w:t>
      </w:r>
      <w:r>
        <w:rPr>
          <w:rFonts w:ascii="Times New Roman" w:eastAsia="仿宋_GB2312" w:hAnsi="Times New Roman" w:cs="Times New Roman"/>
          <w:color w:val="000000"/>
          <w:sz w:val="32"/>
          <w:szCs w:val="32"/>
        </w:rPr>
        <w:t>。</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补充申请审评过程中发生其他涉及技术</w:t>
      </w:r>
      <w:r>
        <w:rPr>
          <w:rFonts w:ascii="Times New Roman" w:eastAsia="仿宋_GB2312" w:hAnsi="Times New Roman" w:cs="Times New Roman" w:hint="eastAsia"/>
          <w:color w:val="000000"/>
          <w:sz w:val="32"/>
          <w:szCs w:val="32"/>
        </w:rPr>
        <w:t>类</w:t>
      </w:r>
      <w:r w:rsidRPr="00FF1978">
        <w:rPr>
          <w:rFonts w:ascii="Times New Roman" w:eastAsia="仿宋_GB2312" w:hAnsi="Times New Roman" w:cs="Times New Roman"/>
          <w:color w:val="000000"/>
          <w:sz w:val="32"/>
          <w:szCs w:val="32"/>
        </w:rPr>
        <w:t>的变更，</w:t>
      </w:r>
      <w:r>
        <w:rPr>
          <w:rFonts w:ascii="Times New Roman" w:eastAsia="仿宋_GB2312" w:hAnsi="Times New Roman" w:cs="Times New Roman" w:hint="eastAsia"/>
          <w:color w:val="000000"/>
          <w:sz w:val="32"/>
          <w:szCs w:val="32"/>
        </w:rPr>
        <w:t>需</w:t>
      </w:r>
      <w:r>
        <w:rPr>
          <w:rFonts w:ascii="Times New Roman" w:eastAsia="仿宋_GB2312" w:hAnsi="Times New Roman" w:cs="Times New Roman"/>
          <w:color w:val="000000"/>
          <w:sz w:val="32"/>
          <w:szCs w:val="32"/>
        </w:rPr>
        <w:t>技术审评的变更，</w:t>
      </w:r>
      <w:r w:rsidRPr="00FF1978">
        <w:rPr>
          <w:rFonts w:ascii="Times New Roman" w:eastAsia="仿宋_GB2312" w:hAnsi="Times New Roman" w:cs="Times New Roman"/>
          <w:color w:val="000000"/>
          <w:sz w:val="32"/>
          <w:szCs w:val="32"/>
        </w:rPr>
        <w:t>持有人</w:t>
      </w:r>
      <w:r>
        <w:rPr>
          <w:rFonts w:ascii="Times New Roman" w:eastAsia="仿宋_GB2312" w:hAnsi="Times New Roman" w:cs="Times New Roman" w:hint="eastAsia"/>
          <w:color w:val="000000"/>
          <w:sz w:val="32"/>
          <w:szCs w:val="32"/>
        </w:rPr>
        <w:t>或</w:t>
      </w:r>
      <w:r>
        <w:rPr>
          <w:rFonts w:ascii="Times New Roman" w:eastAsia="仿宋_GB2312" w:hAnsi="Times New Roman" w:cs="Times New Roman"/>
          <w:color w:val="000000"/>
          <w:sz w:val="32"/>
          <w:szCs w:val="32"/>
        </w:rPr>
        <w:t>申请人</w:t>
      </w:r>
      <w:r w:rsidRPr="00FF1978">
        <w:rPr>
          <w:rFonts w:ascii="Times New Roman" w:eastAsia="仿宋_GB2312" w:hAnsi="Times New Roman" w:cs="Times New Roman"/>
          <w:color w:val="000000"/>
          <w:sz w:val="32"/>
          <w:szCs w:val="32"/>
        </w:rPr>
        <w:t>应</w:t>
      </w:r>
      <w:r>
        <w:rPr>
          <w:rFonts w:ascii="Times New Roman" w:eastAsia="仿宋_GB2312" w:hAnsi="Times New Roman" w:cs="Times New Roman" w:hint="eastAsia"/>
          <w:color w:val="000000"/>
          <w:sz w:val="32"/>
          <w:szCs w:val="32"/>
        </w:rPr>
        <w:t>向</w:t>
      </w:r>
      <w:r>
        <w:rPr>
          <w:rFonts w:ascii="Times New Roman" w:eastAsia="仿宋_GB2312" w:hAnsi="Times New Roman" w:cs="Times New Roman"/>
          <w:color w:val="000000"/>
          <w:sz w:val="32"/>
          <w:szCs w:val="32"/>
        </w:rPr>
        <w:t>药品审评中心</w:t>
      </w:r>
      <w:r w:rsidRPr="00FF1978">
        <w:rPr>
          <w:rFonts w:ascii="Times New Roman" w:eastAsia="仿宋_GB2312" w:hAnsi="Times New Roman" w:cs="Times New Roman"/>
          <w:color w:val="000000"/>
          <w:sz w:val="32"/>
          <w:szCs w:val="32"/>
        </w:rPr>
        <w:t>提交新的补充</w:t>
      </w:r>
      <w:r>
        <w:rPr>
          <w:rFonts w:ascii="Times New Roman" w:eastAsia="仿宋_GB2312" w:hAnsi="Times New Roman" w:cs="Times New Roman"/>
          <w:color w:val="000000"/>
          <w:sz w:val="32"/>
          <w:szCs w:val="32"/>
        </w:rPr>
        <w:t>申请，审评时根据需要关联审评或分别进行审评</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审评时限及资料要求参照《</w:t>
      </w:r>
      <w:r>
        <w:rPr>
          <w:rFonts w:ascii="Times New Roman" w:eastAsia="仿宋_GB2312" w:hAnsi="Times New Roman" w:cs="Times New Roman" w:hint="eastAsia"/>
          <w:color w:val="000000"/>
          <w:sz w:val="32"/>
          <w:szCs w:val="32"/>
        </w:rPr>
        <w:t>药品</w:t>
      </w:r>
      <w:r>
        <w:rPr>
          <w:rFonts w:ascii="Times New Roman" w:eastAsia="仿宋_GB2312" w:hAnsi="Times New Roman" w:cs="Times New Roman"/>
          <w:color w:val="000000"/>
          <w:sz w:val="32"/>
          <w:szCs w:val="32"/>
        </w:rPr>
        <w:t>上市后</w:t>
      </w:r>
      <w:r>
        <w:rPr>
          <w:rFonts w:ascii="Times New Roman" w:eastAsia="仿宋_GB2312" w:hAnsi="Times New Roman" w:cs="Times New Roman" w:hint="eastAsia"/>
          <w:color w:val="000000"/>
          <w:sz w:val="32"/>
          <w:szCs w:val="32"/>
        </w:rPr>
        <w:t>变更</w:t>
      </w:r>
      <w:r>
        <w:rPr>
          <w:rFonts w:ascii="Times New Roman" w:eastAsia="仿宋_GB2312" w:hAnsi="Times New Roman" w:cs="Times New Roman"/>
          <w:color w:val="000000"/>
          <w:sz w:val="32"/>
          <w:szCs w:val="32"/>
        </w:rPr>
        <w:t>管理办法（</w:t>
      </w:r>
      <w:r>
        <w:rPr>
          <w:rFonts w:ascii="Times New Roman" w:eastAsia="仿宋_GB2312" w:hAnsi="Times New Roman" w:cs="Times New Roman" w:hint="eastAsia"/>
          <w:color w:val="000000"/>
          <w:sz w:val="32"/>
          <w:szCs w:val="32"/>
        </w:rPr>
        <w:t>试行</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及</w:t>
      </w:r>
      <w:r>
        <w:rPr>
          <w:rFonts w:ascii="Times New Roman" w:eastAsia="仿宋_GB2312" w:hAnsi="Times New Roman" w:cs="Times New Roman"/>
          <w:color w:val="000000"/>
          <w:sz w:val="32"/>
          <w:szCs w:val="32"/>
        </w:rPr>
        <w:t>相关文件的</w:t>
      </w:r>
      <w:r>
        <w:rPr>
          <w:rFonts w:ascii="Times New Roman" w:eastAsia="仿宋_GB2312" w:hAnsi="Times New Roman" w:cs="Times New Roman" w:hint="eastAsia"/>
          <w:color w:val="000000"/>
          <w:sz w:val="32"/>
          <w:szCs w:val="32"/>
        </w:rPr>
        <w:t>规定；</w:t>
      </w:r>
      <w:r>
        <w:rPr>
          <w:rFonts w:ascii="Times New Roman" w:eastAsia="仿宋_GB2312" w:hAnsi="Times New Roman" w:cs="Times New Roman"/>
          <w:color w:val="000000"/>
          <w:sz w:val="32"/>
          <w:szCs w:val="32"/>
        </w:rPr>
        <w:t>对于</w:t>
      </w:r>
      <w:r>
        <w:rPr>
          <w:rFonts w:ascii="Times New Roman" w:eastAsia="仿宋_GB2312" w:hAnsi="Times New Roman" w:cs="Times New Roman" w:hint="eastAsia"/>
          <w:color w:val="000000"/>
          <w:sz w:val="32"/>
          <w:szCs w:val="32"/>
        </w:rPr>
        <w:t>备案</w:t>
      </w:r>
      <w:r>
        <w:rPr>
          <w:rFonts w:ascii="Times New Roman" w:eastAsia="仿宋_GB2312" w:hAnsi="Times New Roman" w:cs="Times New Roman"/>
          <w:color w:val="000000"/>
          <w:sz w:val="32"/>
          <w:szCs w:val="32"/>
        </w:rPr>
        <w:t>或报告类变更，持有人</w:t>
      </w:r>
      <w:r>
        <w:rPr>
          <w:rFonts w:ascii="Times New Roman" w:eastAsia="仿宋_GB2312" w:hAnsi="Times New Roman" w:cs="Times New Roman" w:hint="eastAsia"/>
          <w:color w:val="000000"/>
          <w:sz w:val="32"/>
          <w:szCs w:val="32"/>
        </w:rPr>
        <w:t>应当</w:t>
      </w:r>
      <w:r>
        <w:rPr>
          <w:rFonts w:ascii="Times New Roman" w:eastAsia="仿宋_GB2312" w:hAnsi="Times New Roman" w:cs="Times New Roman"/>
          <w:color w:val="000000"/>
          <w:sz w:val="32"/>
          <w:szCs w:val="32"/>
        </w:rPr>
        <w:t>在备案或报告完成后将相关证明性材料</w:t>
      </w:r>
      <w:r>
        <w:rPr>
          <w:rFonts w:ascii="Times New Roman" w:eastAsia="仿宋_GB2312" w:hAnsi="Times New Roman" w:cs="Times New Roman" w:hint="eastAsia"/>
          <w:color w:val="000000"/>
          <w:sz w:val="32"/>
          <w:szCs w:val="32"/>
        </w:rPr>
        <w:t>以</w:t>
      </w:r>
      <w:r>
        <w:rPr>
          <w:rFonts w:ascii="Times New Roman" w:eastAsia="仿宋_GB2312" w:hAnsi="Times New Roman" w:cs="Times New Roman"/>
          <w:color w:val="000000"/>
          <w:sz w:val="32"/>
          <w:szCs w:val="32"/>
        </w:rPr>
        <w:t>公文</w:t>
      </w:r>
      <w:r>
        <w:rPr>
          <w:rFonts w:ascii="Times New Roman" w:eastAsia="仿宋_GB2312" w:hAnsi="Times New Roman" w:cs="Times New Roman" w:hint="eastAsia"/>
          <w:color w:val="000000"/>
          <w:sz w:val="32"/>
          <w:szCs w:val="32"/>
        </w:rPr>
        <w:t>的</w:t>
      </w:r>
      <w:r>
        <w:rPr>
          <w:rFonts w:ascii="Times New Roman" w:eastAsia="仿宋_GB2312" w:hAnsi="Times New Roman" w:cs="Times New Roman"/>
          <w:color w:val="000000"/>
          <w:sz w:val="32"/>
          <w:szCs w:val="32"/>
        </w:rPr>
        <w:t>形式</w:t>
      </w:r>
      <w:r>
        <w:rPr>
          <w:rFonts w:ascii="Times New Roman" w:eastAsia="仿宋_GB2312" w:hAnsi="Times New Roman" w:cs="Times New Roman" w:hint="eastAsia"/>
          <w:color w:val="000000"/>
          <w:sz w:val="32"/>
          <w:szCs w:val="32"/>
        </w:rPr>
        <w:t>书面</w:t>
      </w:r>
      <w:r>
        <w:rPr>
          <w:rFonts w:ascii="Times New Roman" w:eastAsia="仿宋_GB2312" w:hAnsi="Times New Roman" w:cs="Times New Roman"/>
          <w:color w:val="000000"/>
          <w:sz w:val="32"/>
          <w:szCs w:val="32"/>
        </w:rPr>
        <w:t>告知药品审评中心。</w:t>
      </w:r>
    </w:p>
    <w:p w:rsidR="00784358" w:rsidRPr="00FF197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境外生产药品再注册申请中原则上不能同时申请其他补申请事项。如需要申请的，可单独申请，审评时根据需要关联审评或分别进行审评。</w:t>
      </w:r>
    </w:p>
    <w:p w:rsidR="00784358" w:rsidRPr="00FF1978" w:rsidRDefault="00784358" w:rsidP="00784358">
      <w:pPr>
        <w:pStyle w:val="a7"/>
        <w:numPr>
          <w:ilvl w:val="0"/>
          <w:numId w:val="1"/>
        </w:numPr>
        <w:spacing w:line="600" w:lineRule="exact"/>
        <w:ind w:firstLineChars="0"/>
        <w:rPr>
          <w:rFonts w:ascii="Times New Roman" w:eastAsia="黑体" w:hAnsi="Times New Roman" w:cs="Times New Roman"/>
          <w:color w:val="000000"/>
          <w:sz w:val="32"/>
          <w:szCs w:val="32"/>
        </w:rPr>
      </w:pPr>
      <w:r w:rsidRPr="00FF1978">
        <w:rPr>
          <w:rFonts w:ascii="Times New Roman" w:eastAsia="黑体" w:hAnsi="Times New Roman" w:cs="Times New Roman"/>
          <w:color w:val="000000"/>
          <w:sz w:val="32"/>
          <w:szCs w:val="32"/>
        </w:rPr>
        <w:t>其他</w:t>
      </w:r>
    </w:p>
    <w:p w:rsidR="00F0795A" w:rsidRPr="00784358" w:rsidRDefault="00784358" w:rsidP="00784358">
      <w:pPr>
        <w:ind w:firstLineChars="200" w:firstLine="640"/>
        <w:rPr>
          <w:rFonts w:ascii="Times New Roman" w:eastAsia="仿宋_GB2312" w:hAnsi="Times New Roman" w:cs="Times New Roman"/>
          <w:color w:val="000000"/>
          <w:sz w:val="32"/>
          <w:szCs w:val="32"/>
        </w:rPr>
      </w:pPr>
      <w:r w:rsidRPr="00FF1978">
        <w:rPr>
          <w:rFonts w:ascii="Times New Roman" w:eastAsia="仿宋_GB2312" w:hAnsi="Times New Roman" w:cs="Times New Roman"/>
          <w:color w:val="000000"/>
          <w:sz w:val="32"/>
          <w:szCs w:val="32"/>
        </w:rPr>
        <w:t>原料药审评过程中的</w:t>
      </w:r>
      <w:bookmarkStart w:id="0" w:name="_GoBack"/>
      <w:bookmarkEnd w:id="0"/>
      <w:r w:rsidRPr="00FF1978">
        <w:rPr>
          <w:rFonts w:ascii="Times New Roman" w:eastAsia="仿宋_GB2312" w:hAnsi="Times New Roman" w:cs="Times New Roman"/>
          <w:color w:val="000000"/>
          <w:sz w:val="32"/>
          <w:szCs w:val="32"/>
        </w:rPr>
        <w:t>变更参照以上要求执行。</w:t>
      </w:r>
    </w:p>
    <w:sectPr w:rsidR="00F0795A" w:rsidRPr="007843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CB" w:rsidRDefault="003E38CB" w:rsidP="00784358">
      <w:r>
        <w:separator/>
      </w:r>
    </w:p>
  </w:endnote>
  <w:endnote w:type="continuationSeparator" w:id="0">
    <w:p w:rsidR="003E38CB" w:rsidRDefault="003E38CB" w:rsidP="0078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CB" w:rsidRDefault="003E38CB" w:rsidP="00784358">
      <w:r>
        <w:separator/>
      </w:r>
    </w:p>
  </w:footnote>
  <w:footnote w:type="continuationSeparator" w:id="0">
    <w:p w:rsidR="003E38CB" w:rsidRDefault="003E38CB" w:rsidP="007843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B3C"/>
    <w:multiLevelType w:val="hybridMultilevel"/>
    <w:tmpl w:val="3460BB76"/>
    <w:lvl w:ilvl="0" w:tplc="5E16C5D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E154226"/>
    <w:multiLevelType w:val="hybridMultilevel"/>
    <w:tmpl w:val="6EF8ABB8"/>
    <w:lvl w:ilvl="0" w:tplc="5C6AAD36">
      <w:start w:val="1"/>
      <w:numFmt w:val="japaneseCounting"/>
      <w:lvlText w:val="（%1）"/>
      <w:lvlJc w:val="left"/>
      <w:pPr>
        <w:ind w:left="1600" w:hanging="9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2E"/>
    <w:rsid w:val="003E38CB"/>
    <w:rsid w:val="00784358"/>
    <w:rsid w:val="00D7342E"/>
    <w:rsid w:val="00F0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26BC0-4B4D-4499-87F9-AC7A1D6C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3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3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4358"/>
    <w:rPr>
      <w:sz w:val="18"/>
      <w:szCs w:val="18"/>
    </w:rPr>
  </w:style>
  <w:style w:type="paragraph" w:styleId="a5">
    <w:name w:val="footer"/>
    <w:basedOn w:val="a"/>
    <w:link w:val="a6"/>
    <w:uiPriority w:val="99"/>
    <w:unhideWhenUsed/>
    <w:rsid w:val="00784358"/>
    <w:pPr>
      <w:tabs>
        <w:tab w:val="center" w:pos="4153"/>
        <w:tab w:val="right" w:pos="8306"/>
      </w:tabs>
      <w:snapToGrid w:val="0"/>
      <w:jc w:val="left"/>
    </w:pPr>
    <w:rPr>
      <w:sz w:val="18"/>
      <w:szCs w:val="18"/>
    </w:rPr>
  </w:style>
  <w:style w:type="character" w:customStyle="1" w:styleId="a6">
    <w:name w:val="页脚 字符"/>
    <w:basedOn w:val="a0"/>
    <w:link w:val="a5"/>
    <w:uiPriority w:val="99"/>
    <w:rsid w:val="00784358"/>
    <w:rPr>
      <w:sz w:val="18"/>
      <w:szCs w:val="18"/>
    </w:rPr>
  </w:style>
  <w:style w:type="paragraph" w:styleId="a7">
    <w:name w:val="List Paragraph"/>
    <w:basedOn w:val="a"/>
    <w:uiPriority w:val="34"/>
    <w:qFormat/>
    <w:rsid w:val="007843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王宇涛</dc:creator>
  <cp:keywords/>
  <dc:description/>
  <cp:lastModifiedBy>王宇涛</cp:lastModifiedBy>
  <cp:revision>2</cp:revision>
  <dcterms:created xsi:type="dcterms:W3CDTF">2021-06-23T08:09:00Z</dcterms:created>
  <dcterms:modified xsi:type="dcterms:W3CDTF">2021-06-23T08:09:00Z</dcterms:modified>
</cp:coreProperties>
</file>